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proofErr w:type="spellStart"/>
      <w:r w:rsidR="009F19BC">
        <w:rPr>
          <w:rFonts w:ascii="Arial" w:hAnsi="Arial" w:cs="Arial"/>
          <w:b/>
          <w:color w:val="000000"/>
          <w:spacing w:val="-1"/>
          <w:u w:val="single"/>
        </w:rPr>
        <w:t>Carcor</w:t>
      </w:r>
      <w:proofErr w:type="spellEnd"/>
      <w:r w:rsidR="009F19BC">
        <w:rPr>
          <w:rFonts w:ascii="Arial" w:hAnsi="Arial" w:cs="Arial"/>
          <w:b/>
          <w:color w:val="000000"/>
          <w:spacing w:val="-1"/>
          <w:u w:val="single"/>
        </w:rPr>
        <w:t>-</w:t>
      </w:r>
      <w:proofErr w:type="spellStart"/>
      <w:r w:rsidR="009F19BC">
        <w:rPr>
          <w:rFonts w:ascii="Arial" w:hAnsi="Arial" w:cs="Arial"/>
          <w:b/>
          <w:color w:val="000000"/>
          <w:spacing w:val="-1"/>
          <w:u w:val="single"/>
        </w:rPr>
        <w:t>Patrocenio</w:t>
      </w:r>
      <w:proofErr w:type="spellEnd"/>
      <w:r w:rsidR="009F19BC">
        <w:rPr>
          <w:rFonts w:ascii="Arial" w:hAnsi="Arial" w:cs="Arial"/>
          <w:b/>
          <w:color w:val="000000"/>
          <w:spacing w:val="-1"/>
          <w:u w:val="single"/>
        </w:rPr>
        <w:t xml:space="preserve">-Jct. </w:t>
      </w:r>
      <w:proofErr w:type="spellStart"/>
      <w:r w:rsidR="009F19BC">
        <w:rPr>
          <w:rFonts w:ascii="Arial" w:hAnsi="Arial" w:cs="Arial"/>
          <w:b/>
          <w:color w:val="000000"/>
          <w:spacing w:val="-1"/>
          <w:u w:val="single"/>
        </w:rPr>
        <w:t>Bayabas</w:t>
      </w:r>
      <w:proofErr w:type="spellEnd"/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9F19BC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9F19BC">
        <w:rPr>
          <w:rFonts w:ascii="Arial" w:hAnsi="Arial" w:cs="Arial"/>
          <w:b/>
          <w:color w:val="000000"/>
          <w:spacing w:val="-1"/>
        </w:rPr>
        <w:t>FIFTY NINE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>THOUSAND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9F19BC">
        <w:rPr>
          <w:rFonts w:ascii="Arial" w:hAnsi="Arial" w:cs="Arial"/>
          <w:b/>
          <w:color w:val="000000"/>
          <w:spacing w:val="-1"/>
        </w:rPr>
        <w:t>THIRTY THREE PESOS AND 13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F19BC">
        <w:rPr>
          <w:rFonts w:ascii="Arial" w:hAnsi="Arial" w:cs="Arial"/>
          <w:b/>
          <w:color w:val="000000"/>
          <w:spacing w:val="-1"/>
        </w:rPr>
        <w:t>CENTAVOS (Php259</w:t>
      </w:r>
      <w:proofErr w:type="gramStart"/>
      <w:r w:rsidR="009F19BC">
        <w:rPr>
          <w:rFonts w:ascii="Arial" w:hAnsi="Arial" w:cs="Arial"/>
          <w:b/>
          <w:color w:val="000000"/>
          <w:spacing w:val="-1"/>
        </w:rPr>
        <w:t>,033.13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proofErr w:type="spellStart"/>
      <w:r w:rsidR="00415C2F">
        <w:rPr>
          <w:rFonts w:ascii="Arial" w:hAnsi="Arial" w:cs="Arial"/>
          <w:b/>
          <w:color w:val="000000"/>
          <w:spacing w:val="-1"/>
          <w:u w:val="single"/>
        </w:rPr>
        <w:t>Carcor</w:t>
      </w:r>
      <w:proofErr w:type="spellEnd"/>
      <w:r w:rsidR="00415C2F">
        <w:rPr>
          <w:rFonts w:ascii="Arial" w:hAnsi="Arial" w:cs="Arial"/>
          <w:b/>
          <w:color w:val="000000"/>
          <w:spacing w:val="-1"/>
          <w:u w:val="single"/>
        </w:rPr>
        <w:t>-</w:t>
      </w:r>
      <w:proofErr w:type="spellStart"/>
      <w:r w:rsidR="00415C2F">
        <w:rPr>
          <w:rFonts w:ascii="Arial" w:hAnsi="Arial" w:cs="Arial"/>
          <w:b/>
          <w:color w:val="000000"/>
          <w:spacing w:val="-1"/>
          <w:u w:val="single"/>
        </w:rPr>
        <w:t>Patrocenio</w:t>
      </w:r>
      <w:proofErr w:type="spellEnd"/>
      <w:r w:rsidR="00415C2F">
        <w:rPr>
          <w:rFonts w:ascii="Arial" w:hAnsi="Arial" w:cs="Arial"/>
          <w:b/>
          <w:color w:val="000000"/>
          <w:spacing w:val="-1"/>
          <w:u w:val="single"/>
        </w:rPr>
        <w:t xml:space="preserve">-Jct. </w:t>
      </w:r>
      <w:proofErr w:type="spellStart"/>
      <w:r w:rsidR="00415C2F" w:rsidRPr="002113FC">
        <w:rPr>
          <w:rFonts w:ascii="Arial" w:hAnsi="Arial" w:cs="Arial"/>
          <w:b/>
          <w:color w:val="000000"/>
          <w:spacing w:val="-1"/>
          <w:u w:val="single"/>
        </w:rPr>
        <w:t>Bayabas</w:t>
      </w:r>
      <w:proofErr w:type="spellEnd"/>
      <w:r w:rsidR="00415C2F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415C2F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415C2F">
        <w:rPr>
          <w:rFonts w:ascii="Arial" w:hAnsi="Arial" w:cs="Arial"/>
          <w:b/>
          <w:color w:val="000000"/>
          <w:spacing w:val="-1"/>
        </w:rPr>
        <w:t>TWO HUNDRED FIFTY NINE THOUSAND THIRTY THREE PESOS AND 13/100 CENTAVOS (Php259,033.13</w:t>
      </w:r>
      <w:r w:rsidR="00591CA2">
        <w:rPr>
          <w:rFonts w:ascii="Arial" w:hAnsi="Arial" w:cs="Arial"/>
          <w:b/>
          <w:color w:val="000000"/>
          <w:spacing w:val="-1"/>
        </w:rPr>
        <w:t>)</w:t>
      </w:r>
      <w:r w:rsidR="001E745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proofErr w:type="spellStart"/>
      <w:r w:rsidR="002113FC">
        <w:rPr>
          <w:rFonts w:ascii="Arial" w:hAnsi="Arial" w:cs="Arial"/>
          <w:color w:val="000000"/>
          <w:spacing w:val="-3"/>
        </w:rPr>
        <w:t>Carcor</w:t>
      </w:r>
      <w:proofErr w:type="spellEnd"/>
      <w:r w:rsidR="0062192E">
        <w:rPr>
          <w:rFonts w:ascii="Arial" w:hAnsi="Arial" w:cs="Arial"/>
          <w:color w:val="000000"/>
          <w:spacing w:val="-3"/>
        </w:rPr>
        <w:t>,</w:t>
      </w:r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AF48C3">
        <w:rPr>
          <w:rFonts w:ascii="Arial" w:hAnsi="Arial" w:cs="Arial"/>
          <w:color w:val="000000"/>
          <w:spacing w:val="-3"/>
        </w:rPr>
        <w:t xml:space="preserve">and </w:t>
      </w:r>
      <w:r w:rsidR="002113FC">
        <w:rPr>
          <w:rFonts w:ascii="Arial" w:hAnsi="Arial" w:cs="Arial"/>
          <w:color w:val="000000"/>
          <w:spacing w:val="-3"/>
        </w:rPr>
        <w:t>Patrocenio</w:t>
      </w:r>
      <w:bookmarkStart w:id="0" w:name="_GoBack"/>
      <w:bookmarkEnd w:id="0"/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62192E">
        <w:rPr>
          <w:rFonts w:ascii="Arial" w:hAnsi="Arial" w:cs="Arial"/>
          <w:color w:val="000000"/>
          <w:spacing w:val="-3"/>
        </w:rPr>
        <w:t>New Corella</w:t>
      </w:r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89" w:rsidRDefault="00015F89" w:rsidP="004A75E4">
      <w:pPr>
        <w:spacing w:after="0" w:line="240" w:lineRule="auto"/>
      </w:pPr>
      <w:r>
        <w:separator/>
      </w:r>
    </w:p>
  </w:endnote>
  <w:endnote w:type="continuationSeparator" w:id="0">
    <w:p w:rsidR="00015F89" w:rsidRDefault="00015F89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89" w:rsidRDefault="00015F89" w:rsidP="004A75E4">
      <w:pPr>
        <w:spacing w:after="0" w:line="240" w:lineRule="auto"/>
      </w:pPr>
      <w:r>
        <w:separator/>
      </w:r>
    </w:p>
  </w:footnote>
  <w:footnote w:type="continuationSeparator" w:id="0">
    <w:p w:rsidR="00015F89" w:rsidRDefault="00015F89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AB7"/>
    <w:rsid w:val="00050242"/>
    <w:rsid w:val="000706DA"/>
    <w:rsid w:val="000759C7"/>
    <w:rsid w:val="00082935"/>
    <w:rsid w:val="00085C7F"/>
    <w:rsid w:val="000933C9"/>
    <w:rsid w:val="00093636"/>
    <w:rsid w:val="00095504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72D9D"/>
    <w:rsid w:val="0067699F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AF48C3"/>
    <w:rsid w:val="00B1401D"/>
    <w:rsid w:val="00B32620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E4CCE"/>
    <w:rsid w:val="00BF27A4"/>
    <w:rsid w:val="00C209B0"/>
    <w:rsid w:val="00C30061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5</cp:revision>
  <cp:lastPrinted>2017-04-03T09:02:00Z</cp:lastPrinted>
  <dcterms:created xsi:type="dcterms:W3CDTF">2017-04-03T09:00:00Z</dcterms:created>
  <dcterms:modified xsi:type="dcterms:W3CDTF">2017-04-03T09:05:00Z</dcterms:modified>
</cp:coreProperties>
</file>