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6059A8">
                    <w:trPr>
                      <w:trHeight w:val="592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C20170659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1702-0587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use of PEO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274,900.00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C20170691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1703-0720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OSS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307,647.08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C20170693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1703-0724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PADO-Admin.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113,935.25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C20170704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1703-0744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Provincial Agriculturist Office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90,576.97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C20170706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1703-0749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PASSO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57,057.25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C20170712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1703-1219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use of PENRO program/projects implementation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PENRO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120,000.00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C20170713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1703-1235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Lumber Mat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rials for proposed const. of Triathlon Lane,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Madaum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Tagum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51,648.00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C20170716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1703-0755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DDNH Carmen Zone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98,806.40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C20170718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Suppl</w:t>
                        </w:r>
                        <w:bookmarkStart w:id="0" w:name="_GoBack"/>
                        <w:r>
                          <w:rPr>
                            <w:rFonts w:ascii="Calibri" w:hAnsi="Calibri" w:cs="Calibri"/>
                            <w:color w:val="000000"/>
                          </w:rPr>
                          <w:t>i</w:t>
                        </w:r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es for DDN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Hosp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i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IGACOS Zone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179,078.19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C20170722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1703-0764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Supplies for DDN Hospi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Zone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155,699.09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C20170723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1703-0765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Supplies for DDN Hospi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Zone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72,796.28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C20170725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1703-0767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PENRO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59,907.05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C20170739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1703-0797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PGO - ASS/ PS/ IAS/ PRC/ CDS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53,500.38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C20170745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1703-0804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ice Supplies for use of PGSO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56,559.15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C20170746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1703-1240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use of PTO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PTO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54,000.00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C20170748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1703-0807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PGO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152,991.35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C20170750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1703-0810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PHO-Admin. &amp; Technical Division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56,776.06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C20170754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1703-0819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PPDO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51,766.85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C20170757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1703-0828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PTO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95,568.29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C20170758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1703-0831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use of PVO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64,878.21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C20170770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1703-0863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Office Supplies for Vice Governor's Office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95,249.17</w:t>
                        </w:r>
                      </w:p>
                    </w:tc>
                  </w:tr>
                  <w:tr w:rsidR="004F6E46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C20170774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1703-1169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Spare Parts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'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Eqpt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63-H3-85P Nissan 10W Dump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truck w/ P.N. 0081-0040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PEO-Pool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F6E46" w:rsidRDefault="004F6E46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56,600.00</w:t>
                        </w:r>
                      </w:p>
                    </w:tc>
                  </w:tr>
                  <w:tr w:rsidR="00FF798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C20170779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Medical Supplies for DDN Hospi</w:t>
                        </w:r>
                        <w:r w:rsidR="006E3C6C">
                          <w:rPr>
                            <w:rFonts w:ascii="Calibri" w:hAnsi="Calibri" w:cs="Calibri"/>
                            <w:color w:val="000000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al IGACOS Zone - Laboratory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146,400.00</w:t>
                        </w:r>
                      </w:p>
                    </w:tc>
                  </w:tr>
                  <w:tr w:rsidR="00FF798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C20170780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1703-0869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Drugs &amp; Medicines for AGR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PhilHealth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Sponsored Program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before="240"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199,880.00</w:t>
                        </w:r>
                      </w:p>
                    </w:tc>
                  </w:tr>
                  <w:tr w:rsidR="00FF798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C20170781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1703-0760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Janitorial Supplies for DDN Hospital IGACOS Zone (2nd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54,250.36</w:t>
                        </w:r>
                      </w:p>
                    </w:tc>
                  </w:tr>
                  <w:tr w:rsidR="00FF798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C20170783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1703-1194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Spare Parts for 63-F16-8P Hitachi Excavator w/ P.N. 0108-0051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PEO-Pool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105,000.00</w:t>
                        </w:r>
                      </w:p>
                    </w:tc>
                  </w:tr>
                  <w:tr w:rsidR="00FF798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C20170784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1703-1234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proposed const. of Triathlon Lane,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Madaum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Tagum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311,330.00</w:t>
                        </w:r>
                      </w:p>
                    </w:tc>
                  </w:tr>
                  <w:tr w:rsidR="00FF798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C20170785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Spare Parts for 63-H3-74P Nissan DT w/ P.N. 0081-0034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PEO-Pool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FF798C" w:rsidRDefault="00FF798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143,950.00</w:t>
                        </w:r>
                      </w:p>
                    </w:tc>
                  </w:tr>
                  <w:tr w:rsidR="006E3C6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C20170790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1704-1324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Legislative Updates Publication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Newsette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for Information Dissemination of SP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SPO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298,800.00</w:t>
                        </w:r>
                      </w:p>
                    </w:tc>
                  </w:tr>
                  <w:tr w:rsidR="006E3C6C" w:rsidRPr="007746B4" w:rsidTr="006059A8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C20170791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1704-1327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for Adolescent Job Aid Training for AHYD Partners on May 24, 26, 2017 at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Tagum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E3C6C" w:rsidRDefault="006E3C6C" w:rsidP="006059A8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93,750.00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973602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April 06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DF27F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11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DF27FD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9736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12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DF27FD">
              <w:rPr>
                <w:rFonts w:ascii="Arial Narrow" w:hAnsi="Arial Narrow"/>
                <w:sz w:val="18"/>
                <w:szCs w:val="18"/>
              </w:rPr>
              <w:t>4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CF2461">
              <w:rPr>
                <w:rFonts w:ascii="Arial Narrow" w:hAnsi="Arial Narrow"/>
                <w:sz w:val="18"/>
                <w:szCs w:val="18"/>
              </w:rPr>
              <w:t>1</w:t>
            </w:r>
            <w:r w:rsidR="00973602"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973602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973602">
              <w:rPr>
                <w:rFonts w:ascii="Arial Narrow" w:hAnsi="Arial Narrow" w:cstheme="minorHAnsi"/>
                <w:b/>
                <w:sz w:val="18"/>
                <w:szCs w:val="18"/>
              </w:rPr>
              <w:t>April 06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65943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1C30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4F6E46"/>
    <w:rsid w:val="00504771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059A8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E3C6C"/>
    <w:rsid w:val="006F4676"/>
    <w:rsid w:val="007052F3"/>
    <w:rsid w:val="007131C9"/>
    <w:rsid w:val="00714722"/>
    <w:rsid w:val="00725720"/>
    <w:rsid w:val="00731651"/>
    <w:rsid w:val="00736495"/>
    <w:rsid w:val="007645B4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12</cp:revision>
  <cp:lastPrinted>2017-02-10T07:57:00Z</cp:lastPrinted>
  <dcterms:created xsi:type="dcterms:W3CDTF">2017-04-06T00:35:00Z</dcterms:created>
  <dcterms:modified xsi:type="dcterms:W3CDTF">2017-04-07T21:32:00Z</dcterms:modified>
</cp:coreProperties>
</file>